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096" w:rsidRDefault="00FB6096" w:rsidP="00FB6096">
      <w:pPr>
        <w:jc w:val="center"/>
        <w:rPr>
          <w:rFonts w:ascii="Calibri" w:hAnsi="Calibri" w:cs="Calibri"/>
          <w:b/>
          <w:sz w:val="30"/>
          <w:szCs w:val="30"/>
          <w:lang w:eastAsia="fr-FR"/>
        </w:rPr>
      </w:pPr>
      <w:r>
        <w:rPr>
          <w:noProof/>
          <w:lang w:eastAsia="fr-FR"/>
        </w:rPr>
        <w:drawing>
          <wp:inline distT="0" distB="0" distL="0" distR="0" wp14:anchorId="40E08053" wp14:editId="7FA7B7C8">
            <wp:extent cx="2659290" cy="522654"/>
            <wp:effectExtent l="0" t="0" r="0" b="0"/>
            <wp:docPr id="1" name="Image 1" descr="logo-Cre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re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56" cy="529782"/>
                    </a:xfrm>
                    <a:prstGeom prst="rect">
                      <a:avLst/>
                    </a:prstGeom>
                    <a:noFill/>
                    <a:ln>
                      <a:noFill/>
                    </a:ln>
                  </pic:spPr>
                </pic:pic>
              </a:graphicData>
            </a:graphic>
          </wp:inline>
        </w:drawing>
      </w:r>
    </w:p>
    <w:p w:rsidR="00FB6096" w:rsidRDefault="00FB6096" w:rsidP="00FB6096">
      <w:pPr>
        <w:jc w:val="center"/>
        <w:rPr>
          <w:rFonts w:ascii="Calibri" w:hAnsi="Calibri" w:cs="Calibri"/>
          <w:b/>
          <w:sz w:val="30"/>
          <w:szCs w:val="30"/>
          <w:lang w:eastAsia="fr-FR"/>
        </w:rPr>
      </w:pPr>
    </w:p>
    <w:p w:rsidR="00FB6096" w:rsidRPr="00FB6096" w:rsidRDefault="00FB6096" w:rsidP="00FB6096">
      <w:pPr>
        <w:jc w:val="center"/>
        <w:rPr>
          <w:rFonts w:ascii="Calibri" w:hAnsi="Calibri" w:cs="Calibri"/>
          <w:b/>
          <w:sz w:val="30"/>
          <w:szCs w:val="30"/>
          <w:lang w:eastAsia="fr-FR"/>
        </w:rPr>
      </w:pPr>
      <w:r>
        <w:rPr>
          <w:rFonts w:ascii="Calibri" w:hAnsi="Calibri" w:cs="Calibri"/>
          <w:b/>
          <w:sz w:val="30"/>
          <w:szCs w:val="30"/>
          <w:lang w:eastAsia="fr-FR"/>
        </w:rPr>
        <w:t>Comment ide</w:t>
      </w:r>
      <w:r w:rsidR="001617FF">
        <w:rPr>
          <w:rFonts w:ascii="Calibri" w:hAnsi="Calibri" w:cs="Calibri"/>
          <w:b/>
          <w:sz w:val="30"/>
          <w:szCs w:val="30"/>
          <w:lang w:eastAsia="fr-FR"/>
        </w:rPr>
        <w:t>ntifier un.e directeur.trice de</w:t>
      </w:r>
      <w:r>
        <w:rPr>
          <w:rFonts w:ascii="Calibri" w:hAnsi="Calibri" w:cs="Calibri"/>
          <w:b/>
          <w:sz w:val="30"/>
          <w:szCs w:val="30"/>
          <w:lang w:eastAsia="fr-FR"/>
        </w:rPr>
        <w:t xml:space="preserve"> recherches pour une inscription en doctorat ?</w:t>
      </w:r>
    </w:p>
    <w:p w:rsidR="000A456D" w:rsidRDefault="000A456D" w:rsidP="000A456D">
      <w:pPr>
        <w:spacing w:after="0"/>
        <w:jc w:val="center"/>
        <w:rPr>
          <w:rFonts w:ascii="Calibri" w:hAnsi="Calibri" w:cs="Calibri"/>
          <w:lang w:eastAsia="fr-FR"/>
        </w:rPr>
      </w:pPr>
      <w:r>
        <w:rPr>
          <w:rFonts w:ascii="Calibri" w:hAnsi="Calibri" w:cs="Calibri"/>
          <w:lang w:eastAsia="fr-FR"/>
        </w:rPr>
        <w:t>Guide proposé par l’</w:t>
      </w:r>
      <w:r w:rsidR="00FB6096" w:rsidRPr="00A77D25">
        <w:rPr>
          <w:rFonts w:ascii="Calibri" w:hAnsi="Calibri" w:cs="Calibri"/>
          <w:lang w:eastAsia="fr-FR"/>
        </w:rPr>
        <w:t>EUR Arts et Humanités</w:t>
      </w:r>
      <w:r>
        <w:rPr>
          <w:rFonts w:ascii="Calibri" w:hAnsi="Calibri" w:cs="Calibri"/>
          <w:lang w:eastAsia="fr-FR"/>
        </w:rPr>
        <w:t xml:space="preserve"> </w:t>
      </w:r>
    </w:p>
    <w:p w:rsidR="00FB6096" w:rsidRPr="00A77D25" w:rsidRDefault="000A456D" w:rsidP="00FB6096">
      <w:pPr>
        <w:jc w:val="center"/>
        <w:rPr>
          <w:rFonts w:ascii="Calibri" w:hAnsi="Calibri" w:cs="Calibri"/>
          <w:lang w:eastAsia="fr-FR"/>
        </w:rPr>
      </w:pPr>
      <w:r>
        <w:rPr>
          <w:rFonts w:ascii="Calibri" w:hAnsi="Calibri" w:cs="Calibri"/>
          <w:lang w:eastAsia="fr-FR"/>
        </w:rPr>
        <w:t>dans le cadre de la campagne des contrats doctoraux 2025</w:t>
      </w:r>
      <w:r w:rsidR="00FB6096" w:rsidRPr="00A77D25">
        <w:rPr>
          <w:rFonts w:ascii="Calibri" w:hAnsi="Calibri" w:cs="Calibri"/>
          <w:lang w:eastAsia="fr-FR"/>
        </w:rPr>
        <w:t xml:space="preserve"> </w:t>
      </w:r>
    </w:p>
    <w:p w:rsidR="000A456D" w:rsidRDefault="000A456D" w:rsidP="000A456D">
      <w:pPr>
        <w:rPr>
          <w:rFonts w:ascii="Calibri" w:hAnsi="Calibri" w:cs="Calibri"/>
          <w:lang w:eastAsia="fr-FR"/>
        </w:rPr>
      </w:pPr>
    </w:p>
    <w:p w:rsidR="000A456D" w:rsidRDefault="000A456D" w:rsidP="00B104B0">
      <w:pPr>
        <w:jc w:val="both"/>
        <w:rPr>
          <w:rFonts w:ascii="Calibri" w:hAnsi="Calibri" w:cs="Calibri"/>
          <w:lang w:eastAsia="fr-FR"/>
        </w:rPr>
      </w:pPr>
      <w:r>
        <w:rPr>
          <w:rFonts w:ascii="Calibri" w:hAnsi="Calibri" w:cs="Calibri"/>
          <w:lang w:eastAsia="fr-FR"/>
        </w:rPr>
        <w:t>Pour candidater à un des contrats doctoraux proposés par l’EUR Arts et Humanités, il est nécessaire d’ide</w:t>
      </w:r>
      <w:r w:rsidR="001617FF">
        <w:rPr>
          <w:rFonts w:ascii="Calibri" w:hAnsi="Calibri" w:cs="Calibri"/>
          <w:lang w:eastAsia="fr-FR"/>
        </w:rPr>
        <w:t>ntifier un.e directeur.trice de</w:t>
      </w:r>
      <w:r>
        <w:rPr>
          <w:rFonts w:ascii="Calibri" w:hAnsi="Calibri" w:cs="Calibri"/>
          <w:lang w:eastAsia="fr-FR"/>
        </w:rPr>
        <w:t xml:space="preserve"> recherches qui est membre d</w:t>
      </w:r>
      <w:r w:rsidR="00B104B0">
        <w:rPr>
          <w:rFonts w:ascii="Calibri" w:hAnsi="Calibri" w:cs="Calibri"/>
          <w:lang w:eastAsia="fr-FR"/>
        </w:rPr>
        <w:t>e l</w:t>
      </w:r>
      <w:r>
        <w:rPr>
          <w:rFonts w:ascii="Calibri" w:hAnsi="Calibri" w:cs="Calibri"/>
          <w:lang w:eastAsia="fr-FR"/>
        </w:rPr>
        <w:t>’un</w:t>
      </w:r>
      <w:r w:rsidR="00B104B0">
        <w:rPr>
          <w:rFonts w:ascii="Calibri" w:hAnsi="Calibri" w:cs="Calibri"/>
          <w:lang w:eastAsia="fr-FR"/>
        </w:rPr>
        <w:t>e</w:t>
      </w:r>
      <w:r>
        <w:rPr>
          <w:rFonts w:ascii="Calibri" w:hAnsi="Calibri" w:cs="Calibri"/>
          <w:lang w:eastAsia="fr-FR"/>
        </w:rPr>
        <w:t xml:space="preserve"> des neuf unités de recherche du périmètre de l’EUR. </w:t>
      </w:r>
    </w:p>
    <w:tbl>
      <w:tblPr>
        <w:tblStyle w:val="Grilledutableau"/>
        <w:tblW w:w="9634" w:type="dxa"/>
        <w:jc w:val="center"/>
        <w:tblLook w:val="04A0" w:firstRow="1" w:lastRow="0" w:firstColumn="1" w:lastColumn="0" w:noHBand="0" w:noVBand="1"/>
      </w:tblPr>
      <w:tblGrid>
        <w:gridCol w:w="3397"/>
        <w:gridCol w:w="6237"/>
      </w:tblGrid>
      <w:tr w:rsidR="000A456D" w:rsidRPr="000A456D" w:rsidTr="00F0775C">
        <w:trPr>
          <w:jc w:val="center"/>
        </w:trPr>
        <w:tc>
          <w:tcPr>
            <w:tcW w:w="3397" w:type="dxa"/>
          </w:tcPr>
          <w:p w:rsidR="000A456D" w:rsidRPr="001617FF" w:rsidRDefault="000A456D" w:rsidP="000A456D">
            <w:pPr>
              <w:jc w:val="center"/>
              <w:rPr>
                <w:rFonts w:ascii="Calibri" w:hAnsi="Calibri" w:cs="Calibri"/>
                <w:b/>
                <w:sz w:val="26"/>
                <w:szCs w:val="26"/>
                <w:lang w:eastAsia="fr-FR"/>
              </w:rPr>
            </w:pPr>
            <w:r w:rsidRPr="001617FF">
              <w:rPr>
                <w:rFonts w:ascii="Calibri" w:hAnsi="Calibri" w:cs="Calibri"/>
                <w:b/>
                <w:sz w:val="26"/>
                <w:szCs w:val="26"/>
                <w:lang w:eastAsia="fr-FR"/>
              </w:rPr>
              <w:t>Unité de recherche</w:t>
            </w:r>
          </w:p>
        </w:tc>
        <w:tc>
          <w:tcPr>
            <w:tcW w:w="6237" w:type="dxa"/>
          </w:tcPr>
          <w:p w:rsidR="000A456D" w:rsidRPr="001617FF" w:rsidRDefault="000A456D" w:rsidP="000A456D">
            <w:pPr>
              <w:jc w:val="center"/>
              <w:rPr>
                <w:rFonts w:ascii="Calibri" w:hAnsi="Calibri" w:cs="Calibri"/>
                <w:b/>
                <w:sz w:val="26"/>
                <w:szCs w:val="26"/>
                <w:lang w:eastAsia="fr-FR"/>
              </w:rPr>
            </w:pPr>
            <w:r w:rsidRPr="001617FF">
              <w:rPr>
                <w:rFonts w:ascii="Calibri" w:hAnsi="Calibri" w:cs="Calibri"/>
                <w:b/>
                <w:sz w:val="26"/>
                <w:szCs w:val="26"/>
                <w:lang w:eastAsia="fr-FR"/>
              </w:rPr>
              <w:t>Brève description</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8" w:history="1">
              <w:r w:rsidR="000A456D" w:rsidRPr="000A456D">
                <w:rPr>
                  <w:rStyle w:val="Lienhypertexte"/>
                  <w:b/>
                </w:rPr>
                <w:t>BCL</w:t>
              </w:r>
            </w:hyperlink>
            <w:r w:rsidR="000A456D" w:rsidRPr="000A456D">
              <w:rPr>
                <w:rFonts w:ascii="Calibri" w:hAnsi="Calibri" w:cs="Calibri"/>
                <w:lang w:eastAsia="fr-FR"/>
              </w:rPr>
              <w:t xml:space="preserve"> : </w:t>
            </w:r>
            <w:r w:rsidR="000A456D" w:rsidRPr="000A456D">
              <w:rPr>
                <w:rFonts w:ascii="Calibri" w:hAnsi="Calibri" w:cs="Calibri"/>
                <w:i/>
                <w:lang w:eastAsia="fr-FR"/>
              </w:rPr>
              <w:t>Bases, Corpus, Langage</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L’objet d’étude de BCL est le langage, de son architecture cognitive à ses réalisations discursives ou textuelles les plus concrètes. BCL réunit notamment des chercheurs et des chercheuses en psychologie et en sciences du langage.</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9" w:history="1">
              <w:r w:rsidR="000A456D" w:rsidRPr="000A456D">
                <w:rPr>
                  <w:rStyle w:val="Lienhypertexte"/>
                  <w:b/>
                </w:rPr>
                <w:t>CEPAM</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Cultures – Environnements – Préhistoire, Antiquité, Moyen-Âge</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Le CEPAM est une unité de recherche qui évolue dans les champs de la Préhistoire, de la Bioarchéologie, de l'Histoire ancienne et médiévale, de l'Archéologie et de l'Anthropologie.</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0" w:history="1">
              <w:r w:rsidR="000A456D" w:rsidRPr="000A456D">
                <w:rPr>
                  <w:rStyle w:val="Lienhypertexte"/>
                  <w:b/>
                </w:rPr>
                <w:t>CMMC</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Centre de la Méditerranée Moderne et Contemporaine</w:t>
            </w:r>
          </w:p>
        </w:tc>
        <w:tc>
          <w:tcPr>
            <w:tcW w:w="6237" w:type="dxa"/>
          </w:tcPr>
          <w:p w:rsidR="000A456D" w:rsidRPr="001617FF" w:rsidRDefault="000A456D" w:rsidP="000A456D">
            <w:pPr>
              <w:autoSpaceDE w:val="0"/>
              <w:autoSpaceDN w:val="0"/>
              <w:adjustRightInd w:val="0"/>
              <w:jc w:val="both"/>
              <w:rPr>
                <w:rFonts w:ascii="Calibri" w:hAnsi="Calibri" w:cs="Calibri"/>
                <w:lang w:eastAsia="fr-FR"/>
              </w:rPr>
            </w:pPr>
            <w:r w:rsidRPr="001617FF">
              <w:rPr>
                <w:rFonts w:ascii="Calibri" w:hAnsi="Calibri" w:cs="Calibri"/>
              </w:rPr>
              <w:t>Le CMMC réunit des historiennes et historiens des temps modernes et contemporains spécialistes d’histoire culturelle, sociale, économique et politique, des civilisationnistes spécialistes de l’Italie et de l’Espagne, des spécialistes du monde ottoman ainsi que des géographes.</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1" w:history="1">
              <w:r w:rsidR="000A456D" w:rsidRPr="000A456D">
                <w:rPr>
                  <w:rStyle w:val="Lienhypertexte"/>
                  <w:b/>
                </w:rPr>
                <w:t>CRHI</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Centre de Recherches en Histoire des Idées</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Laboratoire pluridisciplinaire fondé en 1983 dans le cadre du Département de philosophie, le CRHI conduit des recherches qui s’inscrivent dans le champ de l’histoire des idées.</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2" w:history="1">
              <w:r w:rsidR="000A456D" w:rsidRPr="000A456D">
                <w:rPr>
                  <w:rStyle w:val="Lienhypertexte"/>
                  <w:b/>
                </w:rPr>
                <w:t>CTELA</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Centre Transdisciplinaire d’Épistémologie de la Littérature et des Arts Vivants</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Le CTELA, Centre Transdisciplinaire d’Épistémologie de la</w:t>
            </w:r>
          </w:p>
          <w:p w:rsidR="000A456D" w:rsidRPr="001617FF" w:rsidRDefault="000A456D" w:rsidP="000A456D">
            <w:pPr>
              <w:autoSpaceDE w:val="0"/>
              <w:autoSpaceDN w:val="0"/>
              <w:adjustRightInd w:val="0"/>
              <w:jc w:val="both"/>
              <w:rPr>
                <w:rFonts w:ascii="Calibri" w:hAnsi="Calibri" w:cs="Calibri"/>
                <w:lang w:eastAsia="fr-FR"/>
              </w:rPr>
            </w:pPr>
            <w:r w:rsidRPr="001617FF">
              <w:rPr>
                <w:rFonts w:ascii="Calibri" w:hAnsi="Calibri" w:cs="Calibri"/>
              </w:rPr>
              <w:t>Littérature et des Arts vivants, s’interroge sur la spécificité et l’évolution des phénomènes littéraires et artistiques.</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3" w:history="1">
              <w:r w:rsidR="000A456D" w:rsidRPr="000A456D">
                <w:rPr>
                  <w:rStyle w:val="Lienhypertexte"/>
                  <w:b/>
                </w:rPr>
                <w:t>GREDEG</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Groupe de Recherche en Droit, Économie et Gestion</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Les activités scientifiques du GREDEG croisent les perspectives économique, juridique, managériale et sociologique autour d’une thématique centrée sur l’innovation et la connaissance.</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4" w:history="1">
              <w:r w:rsidR="000A456D" w:rsidRPr="000A456D">
                <w:rPr>
                  <w:rStyle w:val="Lienhypertexte"/>
                  <w:b/>
                </w:rPr>
                <w:t>LINE</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Laboratoire d’Innovation et Numérique pour l’Éducation</w:t>
            </w:r>
          </w:p>
        </w:tc>
        <w:tc>
          <w:tcPr>
            <w:tcW w:w="6237" w:type="dxa"/>
          </w:tcPr>
          <w:p w:rsidR="000A456D" w:rsidRPr="001617FF" w:rsidRDefault="000A456D" w:rsidP="000A456D">
            <w:pPr>
              <w:autoSpaceDE w:val="0"/>
              <w:autoSpaceDN w:val="0"/>
              <w:adjustRightInd w:val="0"/>
              <w:jc w:val="both"/>
              <w:rPr>
                <w:rFonts w:ascii="Calibri" w:hAnsi="Calibri" w:cs="Calibri"/>
              </w:rPr>
            </w:pPr>
            <w:r w:rsidRPr="001617FF">
              <w:rPr>
                <w:rFonts w:ascii="Calibri" w:hAnsi="Calibri" w:cs="Calibri"/>
              </w:rPr>
              <w:t>L’équipe réunit des collègues en poste à l’Institut de Formation du Professorat et de l’Éducation – INSPE – et au sein d’autres composantes de l’université. Ses travaux portent sur les sciences de l’éducation et de la formation.</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5" w:history="1">
              <w:r w:rsidR="000A456D" w:rsidRPr="000A456D">
                <w:rPr>
                  <w:rStyle w:val="Lienhypertexte"/>
                  <w:b/>
                </w:rPr>
                <w:t>LIRCES</w:t>
              </w:r>
            </w:hyperlink>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Laboratoire Interdisciplinaire Récits, Cultures et Sociétés</w:t>
            </w:r>
          </w:p>
        </w:tc>
        <w:tc>
          <w:tcPr>
            <w:tcW w:w="6237" w:type="dxa"/>
          </w:tcPr>
          <w:p w:rsidR="000A456D" w:rsidRPr="001617FF" w:rsidRDefault="000A456D" w:rsidP="000A456D">
            <w:pPr>
              <w:autoSpaceDE w:val="0"/>
              <w:autoSpaceDN w:val="0"/>
              <w:adjustRightInd w:val="0"/>
              <w:jc w:val="both"/>
              <w:rPr>
                <w:rFonts w:ascii="Calibri" w:hAnsi="Calibri" w:cs="Calibri"/>
                <w:lang w:eastAsia="fr-FR"/>
              </w:rPr>
            </w:pPr>
            <w:r w:rsidRPr="001617FF">
              <w:rPr>
                <w:rFonts w:ascii="Calibri" w:hAnsi="Calibri" w:cs="Calibri"/>
              </w:rPr>
              <w:t>Le LIRCES porte un projet scientifique inter et transdisciplinaire autour de la thématique fédératrice du récit, plus précisément, de la narrativité entendue comme mode universel de la mise en récit.</w:t>
            </w:r>
          </w:p>
        </w:tc>
      </w:tr>
      <w:tr w:rsidR="000A456D" w:rsidRPr="000A456D" w:rsidTr="00F0775C">
        <w:trPr>
          <w:jc w:val="center"/>
        </w:trPr>
        <w:tc>
          <w:tcPr>
            <w:tcW w:w="3397" w:type="dxa"/>
          </w:tcPr>
          <w:p w:rsidR="000A456D" w:rsidRPr="000A456D" w:rsidRDefault="00722FE1" w:rsidP="000A456D">
            <w:pPr>
              <w:rPr>
                <w:rFonts w:ascii="Calibri" w:hAnsi="Calibri" w:cs="Calibri"/>
                <w:i/>
                <w:lang w:eastAsia="fr-FR"/>
              </w:rPr>
            </w:pPr>
            <w:hyperlink r:id="rId16" w:history="1">
              <w:r w:rsidR="000A456D" w:rsidRPr="000A456D">
                <w:rPr>
                  <w:rStyle w:val="Lienhypertexte"/>
                  <w:b/>
                </w:rPr>
                <w:t>SIC.Lab</w:t>
              </w:r>
            </w:hyperlink>
            <w:r w:rsidR="000A456D" w:rsidRPr="000A456D">
              <w:rPr>
                <w:rStyle w:val="Lienhypertexte"/>
                <w:b/>
              </w:rPr>
              <w:t xml:space="preserve"> Méditerranée</w:t>
            </w:r>
            <w:r w:rsidR="000A456D">
              <w:rPr>
                <w:rFonts w:ascii="Calibri" w:hAnsi="Calibri" w:cs="Calibri"/>
                <w:lang w:eastAsia="fr-FR"/>
              </w:rPr>
              <w:t xml:space="preserve"> </w:t>
            </w:r>
            <w:r w:rsidR="000A456D" w:rsidRPr="000A456D">
              <w:rPr>
                <w:rFonts w:ascii="Calibri" w:hAnsi="Calibri" w:cs="Calibri"/>
                <w:lang w:eastAsia="fr-FR"/>
              </w:rPr>
              <w:t xml:space="preserve">: </w:t>
            </w:r>
            <w:r w:rsidR="000A456D" w:rsidRPr="000A456D">
              <w:rPr>
                <w:rFonts w:ascii="Calibri" w:hAnsi="Calibri" w:cs="Calibri"/>
                <w:i/>
                <w:lang w:eastAsia="fr-FR"/>
              </w:rPr>
              <w:t>Laboratoire de la Recherche en Sciences de l’Information et de la Communication</w:t>
            </w:r>
          </w:p>
        </w:tc>
        <w:tc>
          <w:tcPr>
            <w:tcW w:w="6237" w:type="dxa"/>
          </w:tcPr>
          <w:p w:rsidR="000A456D" w:rsidRPr="001617FF" w:rsidRDefault="000A456D" w:rsidP="00F0775C">
            <w:pPr>
              <w:autoSpaceDE w:val="0"/>
              <w:autoSpaceDN w:val="0"/>
              <w:adjustRightInd w:val="0"/>
              <w:jc w:val="both"/>
              <w:rPr>
                <w:rFonts w:ascii="Calibri" w:hAnsi="Calibri" w:cs="Calibri"/>
                <w:lang w:eastAsia="fr-FR"/>
              </w:rPr>
            </w:pPr>
            <w:r w:rsidRPr="001617FF">
              <w:rPr>
                <w:rFonts w:ascii="Calibri" w:hAnsi="Calibri" w:cs="Calibri"/>
              </w:rPr>
              <w:t>Le SIC.Lab Méditerranée s’intéresse à des questions fondamentales liées à la circulation de l’information, aux différentes formes de médiation, aux technologies de</w:t>
            </w:r>
            <w:r w:rsidR="00F0775C" w:rsidRPr="001617FF">
              <w:rPr>
                <w:rFonts w:ascii="Calibri" w:hAnsi="Calibri" w:cs="Calibri"/>
              </w:rPr>
              <w:t xml:space="preserve"> </w:t>
            </w:r>
            <w:r w:rsidRPr="001617FF">
              <w:rPr>
                <w:rFonts w:ascii="Calibri" w:hAnsi="Calibri" w:cs="Calibri"/>
              </w:rPr>
              <w:t>l’information et de la communication et à leurs usages.</w:t>
            </w:r>
          </w:p>
        </w:tc>
      </w:tr>
    </w:tbl>
    <w:p w:rsidR="001617FF" w:rsidRDefault="0036148F" w:rsidP="001617FF">
      <w:pPr>
        <w:jc w:val="both"/>
        <w:rPr>
          <w:rFonts w:ascii="Calibri" w:hAnsi="Calibri" w:cs="Calibri"/>
          <w:lang w:eastAsia="fr-FR"/>
        </w:rPr>
      </w:pPr>
      <w:r>
        <w:rPr>
          <w:rFonts w:ascii="Calibri" w:hAnsi="Calibri" w:cs="Calibri"/>
          <w:lang w:eastAsia="fr-FR"/>
        </w:rPr>
        <w:lastRenderedPageBreak/>
        <w:t>Les liens fournis dans ce tableau mènent à la liste des membres de chaque laboratoire. Les candidat</w:t>
      </w:r>
      <w:r w:rsidR="00E76B4E">
        <w:rPr>
          <w:rFonts w:ascii="Calibri" w:hAnsi="Calibri" w:cs="Calibri"/>
          <w:lang w:eastAsia="fr-FR"/>
        </w:rPr>
        <w:t>.e</w:t>
      </w:r>
      <w:r>
        <w:rPr>
          <w:rFonts w:ascii="Calibri" w:hAnsi="Calibri" w:cs="Calibri"/>
          <w:lang w:eastAsia="fr-FR"/>
        </w:rPr>
        <w:t>s à un contrat doctoral sont invité</w:t>
      </w:r>
      <w:r w:rsidR="00CB33AF">
        <w:rPr>
          <w:rFonts w:ascii="Calibri" w:hAnsi="Calibri" w:cs="Calibri"/>
          <w:lang w:eastAsia="fr-FR"/>
        </w:rPr>
        <w:t>.e</w:t>
      </w:r>
      <w:r>
        <w:rPr>
          <w:rFonts w:ascii="Calibri" w:hAnsi="Calibri" w:cs="Calibri"/>
          <w:lang w:eastAsia="fr-FR"/>
        </w:rPr>
        <w:t xml:space="preserve">s à consulter ces listes pour identifier des personnes avec les compétences dans le domaine de la thèse. Avant de prendre contact avec les personnes identifiées, il est important </w:t>
      </w:r>
      <w:r w:rsidR="004F256C">
        <w:rPr>
          <w:rFonts w:ascii="Calibri" w:hAnsi="Calibri" w:cs="Calibri"/>
          <w:lang w:eastAsia="fr-FR"/>
        </w:rPr>
        <w:t>de</w:t>
      </w:r>
      <w:bookmarkStart w:id="0" w:name="_GoBack"/>
      <w:bookmarkEnd w:id="0"/>
      <w:r>
        <w:rPr>
          <w:rFonts w:ascii="Calibri" w:hAnsi="Calibri" w:cs="Calibri"/>
          <w:lang w:eastAsia="fr-FR"/>
        </w:rPr>
        <w:t xml:space="preserve"> vérifier l’éligibilité de l’encadrant.e potentiel.le. En effet, s</w:t>
      </w:r>
      <w:r w:rsidR="003721DE">
        <w:rPr>
          <w:rFonts w:ascii="Calibri" w:hAnsi="Calibri" w:cs="Calibri"/>
          <w:lang w:eastAsia="fr-FR"/>
        </w:rPr>
        <w:t>eule u</w:t>
      </w:r>
      <w:r w:rsidR="001617FF">
        <w:rPr>
          <w:rFonts w:ascii="Calibri" w:hAnsi="Calibri" w:cs="Calibri"/>
          <w:lang w:eastAsia="fr-FR"/>
        </w:rPr>
        <w:t>ne partie des membres de chaque unité est éligible à encadrer des travaux doctoraux. Pour pouvoir assurer cette mission, il faut avoir soutenu une habilitation à diriger des recherches (HDR). Les grades des chercheurs et enseignants-chercheurs peuvent indiquer si la personne est habilitée à diriger des recherches :</w:t>
      </w:r>
    </w:p>
    <w:p w:rsidR="001617FF" w:rsidRDefault="001617FF" w:rsidP="00B104B0">
      <w:pPr>
        <w:pStyle w:val="Paragraphedeliste"/>
        <w:numPr>
          <w:ilvl w:val="0"/>
          <w:numId w:val="4"/>
        </w:numPr>
        <w:jc w:val="both"/>
        <w:rPr>
          <w:rFonts w:ascii="Calibri" w:hAnsi="Calibri" w:cs="Calibri"/>
          <w:lang w:eastAsia="fr-FR"/>
        </w:rPr>
      </w:pPr>
      <w:r>
        <w:rPr>
          <w:rFonts w:ascii="Calibri" w:hAnsi="Calibri" w:cs="Calibri"/>
          <w:lang w:eastAsia="fr-FR"/>
        </w:rPr>
        <w:t>Parmi les agents UniCA, tout Professeur des Universités (</w:t>
      </w:r>
      <w:r w:rsidR="003721DE">
        <w:rPr>
          <w:rFonts w:ascii="Calibri" w:hAnsi="Calibri" w:cs="Calibri"/>
          <w:lang w:eastAsia="fr-FR"/>
        </w:rPr>
        <w:t xml:space="preserve">grade </w:t>
      </w:r>
      <w:r>
        <w:rPr>
          <w:rFonts w:ascii="Calibri" w:hAnsi="Calibri" w:cs="Calibri"/>
          <w:lang w:eastAsia="fr-FR"/>
        </w:rPr>
        <w:t xml:space="preserve">parfois raccourci à PR ou PU) est habilité à diriger des recherches ; au CNRS, chaque Directeur.trice de recherche </w:t>
      </w:r>
      <w:r w:rsidR="003721DE">
        <w:rPr>
          <w:rFonts w:ascii="Calibri" w:hAnsi="Calibri" w:cs="Calibri"/>
          <w:lang w:eastAsia="fr-FR"/>
        </w:rPr>
        <w:t>a passé une habilitation</w:t>
      </w:r>
      <w:r w:rsidR="00B104B0">
        <w:rPr>
          <w:rFonts w:ascii="Calibri" w:hAnsi="Calibri" w:cs="Calibri"/>
          <w:lang w:eastAsia="fr-FR"/>
        </w:rPr>
        <w:t> ;</w:t>
      </w:r>
    </w:p>
    <w:p w:rsidR="001617FF" w:rsidRPr="001617FF" w:rsidRDefault="00B104B0" w:rsidP="00B104B0">
      <w:pPr>
        <w:pStyle w:val="Paragraphedeliste"/>
        <w:numPr>
          <w:ilvl w:val="0"/>
          <w:numId w:val="4"/>
        </w:numPr>
        <w:jc w:val="both"/>
        <w:rPr>
          <w:rFonts w:ascii="Calibri" w:hAnsi="Calibri" w:cs="Calibri"/>
          <w:lang w:eastAsia="fr-FR"/>
        </w:rPr>
      </w:pPr>
      <w:r>
        <w:rPr>
          <w:rFonts w:ascii="Calibri" w:hAnsi="Calibri" w:cs="Calibri"/>
          <w:lang w:eastAsia="fr-FR"/>
        </w:rPr>
        <w:t>Certains Maîtres de conférences (UniCA) et chargé.es de recherche (CNRS) ont passé leur habilitation et peuvent encadrer des thèses ; cette qualification est généralement mentionnée sur le site web du chercheur (ex. CR HDR) / de l’enseignant-chercheur (ex. MCF HDR).</w:t>
      </w:r>
    </w:p>
    <w:p w:rsidR="001617FF" w:rsidRDefault="0036148F" w:rsidP="00E76B4E">
      <w:pPr>
        <w:jc w:val="both"/>
        <w:rPr>
          <w:rFonts w:ascii="Calibri" w:hAnsi="Calibri" w:cs="Calibri"/>
          <w:lang w:eastAsia="fr-FR"/>
        </w:rPr>
      </w:pPr>
      <w:r>
        <w:rPr>
          <w:rFonts w:ascii="Calibri" w:hAnsi="Calibri" w:cs="Calibri"/>
          <w:lang w:eastAsia="fr-FR"/>
        </w:rPr>
        <w:t xml:space="preserve">Une fois l’éligibilité de l’encadrant.e potentiel.le vérifiée, les </w:t>
      </w:r>
      <w:r w:rsidR="00E76B4E">
        <w:rPr>
          <w:rFonts w:ascii="Calibri" w:hAnsi="Calibri" w:cs="Calibri"/>
          <w:lang w:eastAsia="fr-FR"/>
        </w:rPr>
        <w:t>candidat.es à un contrat doctoral devront prendre contact avec la personne pour lui présenter leur projet de thèse et solliciter leur soutien. A ce stade, il est important de préciser à l’encadrant.e potentiel.le en réponse à quel contrat doctoral le.la candidat.e souhaite déposer un dossier.</w:t>
      </w:r>
    </w:p>
    <w:p w:rsidR="00E82916" w:rsidRDefault="00E82916" w:rsidP="00E76B4E">
      <w:pPr>
        <w:jc w:val="both"/>
        <w:rPr>
          <w:rFonts w:ascii="Calibri" w:hAnsi="Calibri" w:cs="Calibri"/>
          <w:lang w:eastAsia="fr-FR"/>
        </w:rPr>
      </w:pPr>
    </w:p>
    <w:p w:rsidR="00E82916" w:rsidRDefault="00E82916" w:rsidP="00E76B4E">
      <w:pPr>
        <w:jc w:val="both"/>
        <w:rPr>
          <w:rFonts w:ascii="Calibri" w:hAnsi="Calibri" w:cs="Calibri"/>
          <w:lang w:eastAsia="fr-FR"/>
        </w:rPr>
      </w:pPr>
      <w:r>
        <w:rPr>
          <w:rFonts w:ascii="Calibri" w:hAnsi="Calibri" w:cs="Calibri"/>
          <w:lang w:eastAsia="fr-FR"/>
        </w:rPr>
        <w:t xml:space="preserve">Si </w:t>
      </w:r>
      <w:r w:rsidR="00CB33AF">
        <w:rPr>
          <w:rFonts w:ascii="Calibri" w:hAnsi="Calibri" w:cs="Calibri"/>
          <w:lang w:eastAsia="fr-FR"/>
        </w:rPr>
        <w:t xml:space="preserve">vous n’avez pas trouvé la réponse à votre question dans ce document ou dans la </w:t>
      </w:r>
      <w:r w:rsidR="00CB33AF">
        <w:rPr>
          <w:rFonts w:ascii="Calibri" w:hAnsi="Calibri" w:cs="Calibri"/>
          <w:i/>
          <w:lang w:eastAsia="fr-FR"/>
        </w:rPr>
        <w:t xml:space="preserve">foire aux questions </w:t>
      </w:r>
      <w:r w:rsidR="00CB33AF">
        <w:rPr>
          <w:rFonts w:ascii="Calibri" w:hAnsi="Calibri" w:cs="Calibri"/>
          <w:lang w:eastAsia="fr-FR"/>
        </w:rPr>
        <w:t>vous pouvez</w:t>
      </w:r>
      <w:r>
        <w:rPr>
          <w:rFonts w:ascii="Calibri" w:hAnsi="Calibri" w:cs="Calibri"/>
          <w:lang w:eastAsia="fr-FR"/>
        </w:rPr>
        <w:t xml:space="preserve"> contacter :</w:t>
      </w:r>
    </w:p>
    <w:p w:rsidR="00E82916" w:rsidRDefault="00E82916" w:rsidP="00E76B4E">
      <w:pPr>
        <w:jc w:val="both"/>
        <w:rPr>
          <w:rFonts w:ascii="Calibri" w:hAnsi="Calibri" w:cs="Calibri"/>
          <w:lang w:eastAsia="fr-FR"/>
        </w:rPr>
      </w:pPr>
      <w:r>
        <w:rPr>
          <w:rFonts w:ascii="Calibri" w:hAnsi="Calibri" w:cs="Calibri"/>
          <w:lang w:eastAsia="fr-FR"/>
        </w:rPr>
        <w:t>Amanda Edmonds (</w:t>
      </w:r>
      <w:hyperlink r:id="rId17" w:history="1">
        <w:r w:rsidRPr="00F955A3">
          <w:rPr>
            <w:rStyle w:val="Lienhypertexte"/>
            <w:rFonts w:ascii="Calibri" w:hAnsi="Calibri" w:cs="Calibri"/>
            <w:lang w:eastAsia="fr-FR"/>
          </w:rPr>
          <w:t>amanda.edmonds@univ-cotedazur.fr</w:t>
        </w:r>
      </w:hyperlink>
      <w:r>
        <w:rPr>
          <w:rFonts w:ascii="Calibri" w:hAnsi="Calibri" w:cs="Calibri"/>
          <w:lang w:eastAsia="fr-FR"/>
        </w:rPr>
        <w:t>) et Clara Lopez Segui (</w:t>
      </w:r>
      <w:hyperlink r:id="rId18" w:history="1">
        <w:r w:rsidRPr="00F955A3">
          <w:rPr>
            <w:rStyle w:val="Lienhypertexte"/>
            <w:rFonts w:ascii="Calibri" w:hAnsi="Calibri" w:cs="Calibri"/>
            <w:lang w:eastAsia="fr-FR"/>
          </w:rPr>
          <w:t>clara.lopez-segui@univ-cotedazur.fr</w:t>
        </w:r>
      </w:hyperlink>
      <w:r>
        <w:rPr>
          <w:rFonts w:ascii="Calibri" w:hAnsi="Calibri" w:cs="Calibri"/>
          <w:lang w:eastAsia="fr-FR"/>
        </w:rPr>
        <w:t xml:space="preserve">) </w:t>
      </w:r>
    </w:p>
    <w:sectPr w:rsidR="00E829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E1" w:rsidRDefault="00722FE1" w:rsidP="00FB6096">
      <w:pPr>
        <w:spacing w:after="0" w:line="240" w:lineRule="auto"/>
      </w:pPr>
      <w:r>
        <w:separator/>
      </w:r>
    </w:p>
  </w:endnote>
  <w:endnote w:type="continuationSeparator" w:id="0">
    <w:p w:rsidR="00722FE1" w:rsidRDefault="00722FE1" w:rsidP="00FB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E1" w:rsidRDefault="00722FE1" w:rsidP="00FB6096">
      <w:pPr>
        <w:spacing w:after="0" w:line="240" w:lineRule="auto"/>
      </w:pPr>
      <w:r>
        <w:separator/>
      </w:r>
    </w:p>
  </w:footnote>
  <w:footnote w:type="continuationSeparator" w:id="0">
    <w:p w:rsidR="00722FE1" w:rsidRDefault="00722FE1" w:rsidP="00FB6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8F3"/>
    <w:multiLevelType w:val="hybridMultilevel"/>
    <w:tmpl w:val="78827B68"/>
    <w:lvl w:ilvl="0" w:tplc="6AA6BA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16A9E"/>
    <w:multiLevelType w:val="hybridMultilevel"/>
    <w:tmpl w:val="66E26732"/>
    <w:lvl w:ilvl="0" w:tplc="DB8663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57ADA"/>
    <w:multiLevelType w:val="multilevel"/>
    <w:tmpl w:val="BFFE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14D2F"/>
    <w:multiLevelType w:val="hybridMultilevel"/>
    <w:tmpl w:val="D054DD3C"/>
    <w:lvl w:ilvl="0" w:tplc="8F8A2188">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96"/>
    <w:rsid w:val="000A456D"/>
    <w:rsid w:val="00114EA6"/>
    <w:rsid w:val="001617FF"/>
    <w:rsid w:val="0036148F"/>
    <w:rsid w:val="003721DE"/>
    <w:rsid w:val="004F256C"/>
    <w:rsid w:val="00722FE1"/>
    <w:rsid w:val="00A57DA7"/>
    <w:rsid w:val="00B104B0"/>
    <w:rsid w:val="00CB33AF"/>
    <w:rsid w:val="00E76B4E"/>
    <w:rsid w:val="00E82916"/>
    <w:rsid w:val="00EC35BF"/>
    <w:rsid w:val="00F0775C"/>
    <w:rsid w:val="00FB6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F32B"/>
  <w15:chartTrackingRefBased/>
  <w15:docId w15:val="{1FC94ED4-923E-4A7B-A882-AD3FD720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096"/>
  </w:style>
  <w:style w:type="paragraph" w:styleId="Titre3">
    <w:name w:val="heading 3"/>
    <w:basedOn w:val="Normal"/>
    <w:link w:val="Titre3Car"/>
    <w:uiPriority w:val="9"/>
    <w:qFormat/>
    <w:rsid w:val="00FB609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6096"/>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B6096"/>
    <w:rPr>
      <w:b/>
      <w:bCs/>
    </w:rPr>
  </w:style>
  <w:style w:type="paragraph" w:styleId="NormalWeb">
    <w:name w:val="Normal (Web)"/>
    <w:basedOn w:val="Normal"/>
    <w:uiPriority w:val="99"/>
    <w:unhideWhenUsed/>
    <w:rsid w:val="00FB60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B6096"/>
    <w:rPr>
      <w:color w:val="0000FF"/>
      <w:u w:val="single"/>
    </w:rPr>
  </w:style>
  <w:style w:type="paragraph" w:styleId="Paragraphedeliste">
    <w:name w:val="List Paragraph"/>
    <w:basedOn w:val="Normal"/>
    <w:uiPriority w:val="34"/>
    <w:qFormat/>
    <w:rsid w:val="00FB6096"/>
    <w:pPr>
      <w:ind w:left="720"/>
      <w:contextualSpacing/>
    </w:pPr>
  </w:style>
  <w:style w:type="paragraph" w:styleId="Notedebasdepage">
    <w:name w:val="footnote text"/>
    <w:basedOn w:val="Normal"/>
    <w:link w:val="NotedebasdepageCar"/>
    <w:uiPriority w:val="99"/>
    <w:semiHidden/>
    <w:unhideWhenUsed/>
    <w:rsid w:val="00FB60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6096"/>
    <w:rPr>
      <w:sz w:val="20"/>
      <w:szCs w:val="20"/>
    </w:rPr>
  </w:style>
  <w:style w:type="character" w:styleId="Appelnotedebasdep">
    <w:name w:val="footnote reference"/>
    <w:basedOn w:val="Policepardfaut"/>
    <w:uiPriority w:val="99"/>
    <w:semiHidden/>
    <w:unhideWhenUsed/>
    <w:rsid w:val="00FB6096"/>
    <w:rPr>
      <w:vertAlign w:val="superscript"/>
    </w:rPr>
  </w:style>
  <w:style w:type="table" w:styleId="Grilledutableau">
    <w:name w:val="Table Grid"/>
    <w:basedOn w:val="TableauNormal"/>
    <w:uiPriority w:val="39"/>
    <w:rsid w:val="000A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617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l.cnrs.fr/-membres-" TargetMode="External"/><Relationship Id="rId13" Type="http://schemas.openxmlformats.org/officeDocument/2006/relationships/hyperlink" Target="https://gredeg.univ-cotedazur.fr/presentation/les-membres-du-laboratoire" TargetMode="External"/><Relationship Id="rId18" Type="http://schemas.openxmlformats.org/officeDocument/2006/relationships/hyperlink" Target="mailto:clara.lopez-segui@univ-cotedazur.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tela.univ-cotedazur.fr/ctela/membres" TargetMode="External"/><Relationship Id="rId17" Type="http://schemas.openxmlformats.org/officeDocument/2006/relationships/hyperlink" Target="mailto:amanda.edmonds@univ-cotedazur.fr" TargetMode="External"/><Relationship Id="rId2" Type="http://schemas.openxmlformats.org/officeDocument/2006/relationships/styles" Target="styles.xml"/><Relationship Id="rId16" Type="http://schemas.openxmlformats.org/officeDocument/2006/relationships/hyperlink" Target="https://siclab.fr/memb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hi-unice.fr/membres-statutaires" TargetMode="External"/><Relationship Id="rId5" Type="http://schemas.openxmlformats.org/officeDocument/2006/relationships/footnotes" Target="footnotes.xml"/><Relationship Id="rId15" Type="http://schemas.openxmlformats.org/officeDocument/2006/relationships/hyperlink" Target="https://lirces.univ-cotedazur.fr/lirces/membres" TargetMode="External"/><Relationship Id="rId10" Type="http://schemas.openxmlformats.org/officeDocument/2006/relationships/hyperlink" Target="https://cmmc-nice.fr/membres-du-cmm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pam.cnrs.fr/annuaire/" TargetMode="External"/><Relationship Id="rId14" Type="http://schemas.openxmlformats.org/officeDocument/2006/relationships/hyperlink" Target="https://univ-cotedazur.fr/laboratoires/laboratoire-dinnovation-et-numerique-pour-leducation-l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2</Pages>
  <Words>831</Words>
  <Characters>4574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Edmonds</dc:creator>
  <cp:keywords/>
  <dc:description/>
  <cp:lastModifiedBy>Amanda Edmonds</cp:lastModifiedBy>
  <cp:revision>9</cp:revision>
  <dcterms:created xsi:type="dcterms:W3CDTF">2025-05-10T11:07:00Z</dcterms:created>
  <dcterms:modified xsi:type="dcterms:W3CDTF">2025-05-13T06:20:00Z</dcterms:modified>
</cp:coreProperties>
</file>